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processingDrawing" mc:Ignorable="w14 w15 w16se w16cid w16 w16cex w16sdtdh w16sdtfl w16du wp14">
  <w:body>
    <w:p w14:paraId="5F493332" w14:textId="77777777" w:rsidR="00DB3970" w:rsidRPr="006511EE" w:rsidRDefault="00DB3970" w:rsidP="00DB3970">
      <w:pPr>
        <w:pStyle w:val="Title"/>
        <w:rPr>
          <w:sz w:val="44"/>
          <w:szCs w:val="44"/>
          <w:lang w:val="cs-CZ"/>
        </w:rPr>
      </w:pPr>
      <w:r w:rsidRPr="006511EE">
        <w:rPr>
          <w:sz w:val="44"/>
          <w:szCs w:val="44"/>
          <w:lang w:val="cs-CZ"/>
        </w:rPr>
        <w:t xml:space="preserve">Privacy Policy of Syntax </w:t>
      </w:r>
    </w:p>
    <w:p w14:paraId="163DF3B0" w14:textId="756F3EB3" w:rsidR="00DB3970" w:rsidRPr="006511EE" w:rsidRDefault="00DB3970" w:rsidP="00DB3970">
      <w:pPr>
        <w:rPr>
          <w:sz w:val="20"/>
          <w:szCs w:val="20"/>
          <w:lang w:val="cs-CZ"/>
        </w:rPr>
      </w:pPr>
      <w:r w:rsidRPr="006511EE">
        <w:rPr>
          <w:sz w:val="20"/>
          <w:szCs w:val="20"/>
          <w:lang w:val="cs-CZ"/>
        </w:rPr>
        <w:t xml:space="preserve">This document sets out the personal data protection policy of Sophie Kemp, a sole trader under the Trade Licensing Act (hereinafter "Provider"), operator of the online AI translation platform Syntax, available at domain www.syntaxtranslate.com. </w:t>
      </w:r>
    </w:p>
    <w:p w14:paraId="61BA5757" w14:textId="47C55BB4" w:rsidR="00DB3970" w:rsidRPr="006511EE" w:rsidRDefault="00DB3970" w:rsidP="00DB3970">
      <w:pPr>
        <w:rPr>
          <w:sz w:val="20"/>
          <w:szCs w:val="20"/>
          <w:lang w:val="cs-CZ"/>
        </w:rPr>
      </w:pPr>
      <w:r w:rsidRPr="006511EE">
        <w:rPr>
          <w:sz w:val="20"/>
          <w:szCs w:val="20"/>
          <w:lang w:val="cs-CZ"/>
        </w:rPr>
        <w:t xml:space="preserve">These policies set out how the Provider collects, uses and safeguards the personal data of data subjects when providing the service. This document is issued under Regulation (EU) 2016/679 of the European Parliament and of the Council on the protection of personal data (GDPR) and relevant Czech law. </w:t>
      </w:r>
    </w:p>
    <w:p w14:paraId="44B58B7B" w14:textId="77777777" w:rsidR="00DB3970" w:rsidRPr="006511EE" w:rsidRDefault="00DB3970" w:rsidP="00DB3970">
      <w:pPr>
        <w:pStyle w:val="Heading1"/>
        <w:rPr>
          <w:sz w:val="28"/>
          <w:szCs w:val="28"/>
          <w:lang w:val="cs-CZ"/>
        </w:rPr>
      </w:pPr>
      <w:r w:rsidRPr="006511EE">
        <w:rPr>
          <w:sz w:val="28"/>
          <w:szCs w:val="28"/>
          <w:lang w:val="cs-CZ"/>
        </w:rPr>
        <w:t xml:space="preserve">1. Data controller </w:t>
      </w:r>
    </w:p>
    <w:p w14:paraId="03B4D696" w14:textId="77777777" w:rsidR="00DB3970" w:rsidRPr="006511EE" w:rsidRDefault="00DB3970" w:rsidP="00DB3970">
      <w:pPr>
        <w:rPr>
          <w:sz w:val="20"/>
          <w:szCs w:val="20"/>
          <w:lang w:val="cs-CZ"/>
        </w:rPr>
      </w:pPr>
      <w:r w:rsidRPr="006511EE">
        <w:rPr>
          <w:sz w:val="20"/>
          <w:szCs w:val="20"/>
          <w:lang w:val="cs-CZ"/>
        </w:rPr>
        <w:t xml:space="preserve">The personal data controller is:  </w:t>
      </w:r>
    </w:p>
    <w:p w14:paraId="4B98F75B" w14:textId="77777777" w:rsidR="00DB3970" w:rsidRPr="006511EE" w:rsidRDefault="00DB3970" w:rsidP="00DB3970">
      <w:pPr>
        <w:rPr>
          <w:sz w:val="20"/>
          <w:szCs w:val="20"/>
          <w:lang w:val="cs-CZ"/>
        </w:rPr>
      </w:pPr>
      <w:r w:rsidRPr="006511EE">
        <w:rPr>
          <w:sz w:val="20"/>
          <w:szCs w:val="20"/>
          <w:lang w:val="cs-CZ"/>
        </w:rPr>
        <w:t xml:space="preserve">Sophie Kemp  </w:t>
      </w:r>
    </w:p>
    <w:p w14:paraId="4656471C" w14:textId="77777777" w:rsidR="00DB3970" w:rsidRPr="006511EE" w:rsidRDefault="00DB3970" w:rsidP="00DB3970">
      <w:pPr>
        <w:rPr>
          <w:sz w:val="20"/>
          <w:szCs w:val="20"/>
          <w:lang w:val="cs-CZ"/>
        </w:rPr>
      </w:pPr>
      <w:r w:rsidRPr="006511EE">
        <w:rPr>
          <w:sz w:val="20"/>
          <w:szCs w:val="20"/>
          <w:lang w:val="cs-CZ"/>
        </w:rPr>
        <w:t xml:space="preserve">a self-employed natural person under the Trade Licensing Act, registered in the trade register kept by the Varnsdorf Municipal Office, municipal trade department. </w:t>
      </w:r>
    </w:p>
    <w:p w14:paraId="76F2C9F8" w14:textId="77777777" w:rsidR="00DB3970" w:rsidRPr="006511EE" w:rsidRDefault="00DB3970" w:rsidP="00DB3970">
      <w:pPr>
        <w:rPr>
          <w:sz w:val="20"/>
          <w:szCs w:val="20"/>
          <w:lang w:val="cs-CZ"/>
        </w:rPr>
      </w:pPr>
      <w:r w:rsidRPr="006511EE">
        <w:rPr>
          <w:sz w:val="20"/>
          <w:szCs w:val="20"/>
          <w:lang w:val="cs-CZ"/>
        </w:rPr>
        <w:t xml:space="preserve">Company ID: 23723394 </w:t>
      </w:r>
    </w:p>
    <w:p w14:paraId="5B3B3643" w14:textId="77777777" w:rsidR="00DB3970" w:rsidRPr="006511EE" w:rsidRDefault="00DB3970" w:rsidP="00DB3970">
      <w:pPr>
        <w:rPr>
          <w:sz w:val="20"/>
          <w:szCs w:val="20"/>
          <w:lang w:val="cs-CZ"/>
        </w:rPr>
      </w:pPr>
      <w:r w:rsidRPr="006511EE">
        <w:rPr>
          <w:sz w:val="20"/>
          <w:szCs w:val="20"/>
          <w:lang w:val="cs-CZ"/>
        </w:rPr>
        <w:t xml:space="preserve">Registered office (company address): Husova 84, Jiřetín pod Jedlovou, 40756  </w:t>
      </w:r>
    </w:p>
    <w:p w14:paraId="099D9C42" w14:textId="77777777" w:rsidR="00DB3970" w:rsidRPr="006511EE" w:rsidRDefault="00DB3970" w:rsidP="00DB3970">
      <w:pPr>
        <w:rPr>
          <w:sz w:val="20"/>
          <w:szCs w:val="20"/>
          <w:lang w:val="cs-CZ"/>
        </w:rPr>
      </w:pPr>
      <w:r w:rsidRPr="006511EE">
        <w:rPr>
          <w:sz w:val="20"/>
          <w:szCs w:val="20"/>
          <w:lang w:val="cs-CZ"/>
        </w:rPr>
        <w:t xml:space="preserve">E-mail: sophie@wordbyword.cz  </w:t>
      </w:r>
    </w:p>
    <w:p w14:paraId="7E804360" w14:textId="77777777" w:rsidR="00DB3970" w:rsidRPr="006511EE" w:rsidRDefault="00DB3970" w:rsidP="00DB3970">
      <w:pPr>
        <w:rPr>
          <w:sz w:val="20"/>
          <w:szCs w:val="20"/>
          <w:lang w:val="cs-CZ"/>
        </w:rPr>
      </w:pPr>
      <w:r w:rsidRPr="006511EE">
        <w:rPr>
          <w:sz w:val="20"/>
          <w:szCs w:val="20"/>
          <w:lang w:val="cs-CZ"/>
        </w:rPr>
        <w:t>Tel.: +420</w:t>
      </w:r>
      <w:r w:rsidRPr="006511EE">
        <w:rPr>
          <w:rFonts w:ascii="Arial" w:hAnsi="Arial" w:cs="Arial"/>
          <w:sz w:val="20"/>
          <w:szCs w:val="20"/>
          <w:lang w:val="cs-CZ"/>
        </w:rPr>
        <w:t> </w:t>
      </w:r>
      <w:r w:rsidRPr="006511EE">
        <w:rPr>
          <w:sz w:val="20"/>
          <w:szCs w:val="20"/>
          <w:lang w:val="cs-CZ"/>
        </w:rPr>
        <w:t>734</w:t>
      </w:r>
      <w:r w:rsidRPr="006511EE">
        <w:rPr>
          <w:rFonts w:ascii="Arial" w:hAnsi="Arial" w:cs="Arial"/>
          <w:sz w:val="20"/>
          <w:szCs w:val="20"/>
          <w:lang w:val="cs-CZ"/>
        </w:rPr>
        <w:t> </w:t>
      </w:r>
      <w:r w:rsidRPr="006511EE">
        <w:rPr>
          <w:sz w:val="20"/>
          <w:szCs w:val="20"/>
          <w:lang w:val="cs-CZ"/>
        </w:rPr>
        <w:t>365</w:t>
      </w:r>
      <w:r w:rsidRPr="006511EE">
        <w:rPr>
          <w:rFonts w:ascii="Arial" w:hAnsi="Arial" w:cs="Arial"/>
          <w:sz w:val="20"/>
          <w:szCs w:val="20"/>
          <w:lang w:val="cs-CZ"/>
        </w:rPr>
        <w:t> </w:t>
      </w:r>
      <w:r w:rsidRPr="006511EE">
        <w:rPr>
          <w:sz w:val="20"/>
          <w:szCs w:val="20"/>
          <w:lang w:val="cs-CZ"/>
        </w:rPr>
        <w:t xml:space="preserve">221 </w:t>
      </w:r>
    </w:p>
    <w:p w14:paraId="19A5AAF2" w14:textId="77777777" w:rsidR="00DB3970" w:rsidRPr="006511EE" w:rsidRDefault="00DB3970" w:rsidP="00DB3970">
      <w:pPr>
        <w:rPr>
          <w:sz w:val="20"/>
          <w:szCs w:val="20"/>
          <w:lang w:val="cs-CZ"/>
        </w:rPr>
      </w:pPr>
    </w:p>
    <w:p w14:paraId="039BBD24" w14:textId="77777777" w:rsidR="00DB3970" w:rsidRPr="006511EE" w:rsidRDefault="00DB3970" w:rsidP="00DB3970">
      <w:pPr>
        <w:rPr>
          <w:sz w:val="20"/>
          <w:szCs w:val="20"/>
          <w:lang w:val="cs-CZ"/>
        </w:rPr>
      </w:pPr>
      <w:r w:rsidRPr="006511EE">
        <w:rPr>
          <w:sz w:val="20"/>
          <w:szCs w:val="20"/>
          <w:lang w:val="cs-CZ"/>
        </w:rPr>
        <w:t xml:space="preserve">Office for Personal Data Protection (ÚOOÚ) </w:t>
      </w:r>
    </w:p>
    <w:p w14:paraId="08B3BC8A" w14:textId="77777777" w:rsidR="00DB3970" w:rsidRPr="006511EE" w:rsidRDefault="00DB3970" w:rsidP="00DB3970">
      <w:pPr>
        <w:rPr>
          <w:sz w:val="20"/>
          <w:szCs w:val="20"/>
          <w:lang w:val="cs-CZ"/>
        </w:rPr>
      </w:pPr>
      <w:r w:rsidRPr="006511EE">
        <w:rPr>
          <w:sz w:val="20"/>
          <w:szCs w:val="20"/>
          <w:lang w:val="cs-CZ"/>
        </w:rPr>
        <w:t xml:space="preserve">Lt. Col. Sochor 27, 170 00 Prague 7 </w:t>
      </w:r>
    </w:p>
    <w:p w14:paraId="72549EEB" w14:textId="77777777" w:rsidR="00DB3970" w:rsidRPr="006511EE" w:rsidRDefault="00DB3970" w:rsidP="00DB3970">
      <w:pPr>
        <w:rPr>
          <w:sz w:val="20"/>
          <w:szCs w:val="20"/>
          <w:lang w:val="cs-CZ"/>
        </w:rPr>
      </w:pPr>
      <w:r w:rsidRPr="006511EE">
        <w:rPr>
          <w:sz w:val="20"/>
          <w:szCs w:val="20"/>
          <w:lang w:val="cs-CZ"/>
        </w:rPr>
        <w:t xml:space="preserve">Website: </w:t>
      </w:r>
      <w:hyperlink r:id="rId5" w:history="1">
        <w:r w:rsidRPr="006511EE">
          <w:rPr>
            <w:rStyle w:val="Hyperlink"/>
            <w:sz w:val="20"/>
            <w:szCs w:val="20"/>
            <w:lang w:val="cs-CZ"/>
          </w:rPr>
          <w:t>www.uoou.cz</w:t>
        </w:r>
      </w:hyperlink>
    </w:p>
    <w:p w14:paraId="3361A4B1" w14:textId="77777777" w:rsidR="00DB3970" w:rsidRPr="006511EE" w:rsidRDefault="00DB3970" w:rsidP="00DB3970">
      <w:pPr>
        <w:pStyle w:val="Heading1"/>
        <w:rPr>
          <w:sz w:val="28"/>
          <w:szCs w:val="28"/>
          <w:lang w:val="cs-CZ"/>
        </w:rPr>
      </w:pPr>
      <w:r w:rsidRPr="006511EE">
        <w:rPr>
          <w:sz w:val="28"/>
          <w:szCs w:val="28"/>
          <w:lang w:val="cs-CZ"/>
        </w:rPr>
        <w:t xml:space="preserve">2. What data do we collect </w:t>
      </w:r>
    </w:p>
    <w:p w14:paraId="43F7F5CA" w14:textId="77777777" w:rsidR="00DB3970" w:rsidRPr="006511EE" w:rsidRDefault="00DB3970" w:rsidP="00DB3970">
      <w:pPr>
        <w:rPr>
          <w:sz w:val="20"/>
          <w:szCs w:val="20"/>
          <w:lang w:val="cs-CZ"/>
        </w:rPr>
      </w:pPr>
      <w:r w:rsidRPr="006511EE">
        <w:rPr>
          <w:sz w:val="20"/>
          <w:szCs w:val="20"/>
          <w:lang w:val="cs-CZ"/>
        </w:rPr>
        <w:t xml:space="preserve">Providing Syntax, the Provider processes these data: </w:t>
      </w:r>
    </w:p>
    <w:p w14:paraId="1A9D17E8"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User data (for login): first and last name, e-mail address (used as username), password. </w:t>
      </w:r>
    </w:p>
    <w:p w14:paraId="17AAEABD" w14:textId="77777777" w:rsidR="00DB3970" w:rsidRPr="006511EE" w:rsidRDefault="00DB3970" w:rsidP="00DB3970">
      <w:pPr>
        <w:rPr>
          <w:sz w:val="20"/>
          <w:szCs w:val="20"/>
          <w:lang w:val="cs-CZ"/>
        </w:rPr>
      </w:pPr>
      <w:r w:rsidRPr="006511EE">
        <w:rPr>
          <w:sz w:val="20"/>
          <w:szCs w:val="20"/>
          <w:lang w:val="cs-CZ"/>
        </w:rPr>
        <w:t>•</w:t>
      </w:r>
      <w:r w:rsidRPr="006511EE">
        <w:rPr>
          <w:sz w:val="20"/>
          <w:szCs w:val="20"/>
          <w:lang w:val="cs-CZ"/>
        </w:rPr>
        <w:tab/>
        <w:t xml:space="preserve">Customer data (company): </w:t>
      </w:r>
    </w:p>
    <w:p w14:paraId="12FC04C4" w14:textId="77777777" w:rsidR="00DB3970" w:rsidRPr="006511EE" w:rsidRDefault="00DB3970" w:rsidP="00DB3970">
      <w:pPr>
        <w:pStyle w:val="ListParagraph"/>
        <w:numPr>
          <w:ilvl w:val="1"/>
          <w:numId w:val="43"/>
        </w:numPr>
        <w:rPr>
          <w:sz w:val="20"/>
          <w:szCs w:val="20"/>
          <w:lang w:val="cs-CZ"/>
        </w:rPr>
      </w:pPr>
      <w:r w:rsidRPr="006511EE">
        <w:rPr>
          <w:sz w:val="20"/>
          <w:szCs w:val="20"/>
          <w:lang w:val="cs-CZ"/>
        </w:rPr>
        <w:t xml:space="preserve">identification: IČO, DIČ, company name, legal form, address, mailing address, country, </w:t>
      </w:r>
    </w:p>
    <w:p w14:paraId="694F9E34" w14:textId="77777777" w:rsidR="00DB3970" w:rsidRPr="006511EE" w:rsidRDefault="00DB3970" w:rsidP="00DB3970">
      <w:pPr>
        <w:pStyle w:val="ListParagraph"/>
        <w:numPr>
          <w:ilvl w:val="1"/>
          <w:numId w:val="43"/>
        </w:numPr>
        <w:rPr>
          <w:sz w:val="20"/>
          <w:szCs w:val="20"/>
          <w:lang w:val="cs-CZ"/>
        </w:rPr>
      </w:pPr>
      <w:r w:rsidRPr="006511EE">
        <w:rPr>
          <w:sz w:val="20"/>
          <w:szCs w:val="20"/>
          <w:lang w:val="cs-CZ"/>
        </w:rPr>
        <w:t xml:space="preserve">billing details: information required to issue invoices and to maintain accounting and tax records also, </w:t>
      </w:r>
    </w:p>
    <w:p w14:paraId="2E752A47" w14:textId="77777777" w:rsidR="00DB3970" w:rsidRPr="006511EE" w:rsidRDefault="00DB3970" w:rsidP="00DB3970">
      <w:pPr>
        <w:pStyle w:val="ListParagraph"/>
        <w:numPr>
          <w:ilvl w:val="1"/>
          <w:numId w:val="43"/>
        </w:numPr>
        <w:rPr>
          <w:sz w:val="20"/>
          <w:szCs w:val="20"/>
          <w:lang w:val="cs-CZ"/>
        </w:rPr>
      </w:pPr>
      <w:r w:rsidRPr="006511EE">
        <w:rPr>
          <w:sz w:val="20"/>
          <w:szCs w:val="20"/>
          <w:lang w:val="cs-CZ"/>
        </w:rPr>
        <w:t xml:space="preserve">details of the chosen tariff and payment terms, </w:t>
      </w:r>
    </w:p>
    <w:p w14:paraId="5FE3A328" w14:textId="77777777" w:rsidR="00DB3970" w:rsidRPr="006511EE" w:rsidRDefault="00DB3970" w:rsidP="00DB3970">
      <w:pPr>
        <w:pStyle w:val="ListParagraph"/>
        <w:numPr>
          <w:ilvl w:val="1"/>
          <w:numId w:val="43"/>
        </w:numPr>
        <w:rPr>
          <w:sz w:val="20"/>
          <w:szCs w:val="20"/>
          <w:lang w:val="cs-CZ"/>
        </w:rPr>
      </w:pPr>
      <w:r w:rsidRPr="006511EE">
        <w:rPr>
          <w:sz w:val="20"/>
          <w:szCs w:val="20"/>
          <w:lang w:val="cs-CZ"/>
        </w:rPr>
        <w:t xml:space="preserve">contact person 1 (Admin) – first name, last name, e-mail, phone, login, </w:t>
      </w:r>
    </w:p>
    <w:p w14:paraId="3AF72CAB" w14:textId="77777777" w:rsidR="00DB3970" w:rsidRPr="006511EE" w:rsidRDefault="00DB3970" w:rsidP="00DB3970">
      <w:pPr>
        <w:pStyle w:val="ListParagraph"/>
        <w:numPr>
          <w:ilvl w:val="1"/>
          <w:numId w:val="43"/>
        </w:numPr>
        <w:rPr>
          <w:sz w:val="20"/>
          <w:szCs w:val="20"/>
          <w:lang w:val="cs-CZ"/>
        </w:rPr>
      </w:pPr>
      <w:r w:rsidRPr="006511EE">
        <w:rPr>
          <w:sz w:val="20"/>
          <w:szCs w:val="20"/>
          <w:lang w:val="cs-CZ"/>
        </w:rPr>
        <w:t xml:space="preserve">contact person 2 (secondary contact, optional field) – first name, last name, e-mail, phone. </w:t>
      </w:r>
    </w:p>
    <w:p w14:paraId="37796E9E" w14:textId="795BD9D6"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Data provided by the user when using the service: uploaded documents, company glossary, translation history. The user is responsible for having the right to upload any documents and data to the service, including any personal data of third parties. With regard to these data the Provider </w:t>
      </w:r>
      <w:r w:rsidRPr="006511EE">
        <w:rPr>
          <w:sz w:val="20"/>
          <w:szCs w:val="20"/>
          <w:lang w:val="cs-CZ"/>
        </w:rPr>
        <w:lastRenderedPageBreak/>
        <w:t xml:space="preserve">acts exclusively as processor under Art. 28 GDPR and bears no liability for the content of uploaded documents. </w:t>
      </w:r>
    </w:p>
    <w:p w14:paraId="48957CB6" w14:textId="53C0D19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Operational and technical records: data about system activity, including timestamps of logins and performed actions, used to ensure security and handle incidents. </w:t>
      </w:r>
    </w:p>
    <w:p w14:paraId="29DE3FBD"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Communication data: content of communication with customer support (e.g. emails, messages sent via the platform). </w:t>
      </w:r>
    </w:p>
    <w:p w14:paraId="4E400588" w14:textId="77777777" w:rsidR="00DB3970" w:rsidRPr="006511EE" w:rsidRDefault="00DB3970" w:rsidP="00DB3970">
      <w:pPr>
        <w:rPr>
          <w:sz w:val="20"/>
          <w:szCs w:val="20"/>
          <w:lang w:val="cs-CZ"/>
        </w:rPr>
      </w:pPr>
      <w:r w:rsidRPr="006511EE">
        <w:rPr>
          <w:sz w:val="20"/>
          <w:szCs w:val="20"/>
          <w:lang w:val="cs-CZ"/>
        </w:rPr>
        <w:t>The service is not for children under 16; we do not knowingly collect their data.</w:t>
      </w:r>
    </w:p>
    <w:p w14:paraId="09212460" w14:textId="77777777" w:rsidR="00DB3970" w:rsidRPr="006511EE" w:rsidRDefault="00DB3970" w:rsidP="00DB3970">
      <w:pPr>
        <w:pStyle w:val="Heading1"/>
        <w:rPr>
          <w:sz w:val="28"/>
          <w:szCs w:val="28"/>
          <w:lang w:val="cs-CZ"/>
        </w:rPr>
      </w:pPr>
      <w:r w:rsidRPr="006511EE">
        <w:rPr>
          <w:sz w:val="28"/>
          <w:szCs w:val="28"/>
          <w:lang w:val="cs-CZ"/>
        </w:rPr>
        <w:t xml:space="preserve">3. Purposes of processing </w:t>
      </w:r>
    </w:p>
    <w:p w14:paraId="577D34EA" w14:textId="77777777" w:rsidR="00DB3970" w:rsidRPr="006511EE" w:rsidRDefault="00DB3970" w:rsidP="00DB3970">
      <w:pPr>
        <w:rPr>
          <w:sz w:val="20"/>
          <w:szCs w:val="20"/>
          <w:lang w:val="cs-CZ"/>
        </w:rPr>
      </w:pPr>
      <w:r w:rsidRPr="006511EE">
        <w:rPr>
          <w:sz w:val="20"/>
          <w:szCs w:val="20"/>
          <w:lang w:val="cs-CZ"/>
        </w:rPr>
        <w:t xml:space="preserve">Personal data are processed for the following purposes: </w:t>
      </w:r>
    </w:p>
    <w:p w14:paraId="7963DE21"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Providing the Syntax service: managing and administering user accounts, access to the translation platform, uploading and translating documents, using the company glossary and translation history. </w:t>
      </w:r>
    </w:p>
    <w:p w14:paraId="074D9220" w14:textId="32DF848A"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Invoicing and accounting: issuing and recording tax documents, keeping accounting records and meeting tax-law obligations, including filings, reports and payments. </w:t>
      </w:r>
    </w:p>
    <w:p w14:paraId="45EB8BF3"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Security and operation of the system: maintaining operational records of activity in the system that serve to protect the service prevent abuse and also resolve incidents. </w:t>
      </w:r>
    </w:p>
    <w:p w14:paraId="7864B733"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Support and complaint resolution: promptly processing inquiries, grievances and claims, and managing all communication with customers. </w:t>
      </w:r>
    </w:p>
    <w:p w14:paraId="4AD51C22"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Sending service information: technical and operational notices (e.g. changes to terms and conditions, availability notices, alerts about new features under the chosen tariff) – these messages are not considered marketing and are also sent to all users as part of the provision of the service. </w:t>
      </w:r>
    </w:p>
    <w:p w14:paraId="6CA520E3" w14:textId="612EFEB5"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Marketing: sending newsletters and commercial messages (e.g. news, special offers) — only with prior user consent (</w:t>
      </w:r>
      <w:proofErr w:type="spellStart"/>
      <w:r w:rsidRPr="006511EE">
        <w:rPr>
          <w:sz w:val="20"/>
          <w:szCs w:val="20"/>
          <w:lang w:val="cs-CZ"/>
        </w:rPr>
        <w:t>opt</w:t>
      </w:r>
      <w:proofErr w:type="spellEnd"/>
      <w:r w:rsidRPr="006511EE">
        <w:rPr>
          <w:sz w:val="20"/>
          <w:szCs w:val="20"/>
          <w:lang w:val="cs-CZ"/>
        </w:rPr>
        <w:t xml:space="preserve">-in). Users may unsubscribe anytime free of charge by clicking the unsubscribe link in any email or sending a request to </w:t>
      </w:r>
      <w:hyperlink r:id="rId6" w:history="1">
        <w:r w:rsidRPr="006511EE">
          <w:rPr>
            <w:rStyle w:val="Hyperlink"/>
            <w:sz w:val="20"/>
            <w:szCs w:val="20"/>
            <w:lang w:val="cs-CZ"/>
          </w:rPr>
          <w:t>support@wordbyword.cz</w:t>
        </w:r>
      </w:hyperlink>
      <w:r w:rsidRPr="006511EE">
        <w:rPr>
          <w:sz w:val="20"/>
          <w:szCs w:val="20"/>
          <w:lang w:val="cs-CZ"/>
        </w:rPr>
        <w:t xml:space="preserve"> .</w:t>
      </w:r>
    </w:p>
    <w:p w14:paraId="15EB8AD2" w14:textId="77777777" w:rsidR="00DB3970" w:rsidRPr="006511EE" w:rsidRDefault="00DB3970" w:rsidP="00DB3970">
      <w:pPr>
        <w:pStyle w:val="Heading1"/>
        <w:rPr>
          <w:sz w:val="28"/>
          <w:szCs w:val="28"/>
          <w:lang w:val="cs-CZ"/>
        </w:rPr>
      </w:pPr>
      <w:r w:rsidRPr="006511EE">
        <w:rPr>
          <w:sz w:val="28"/>
          <w:szCs w:val="28"/>
          <w:lang w:val="cs-CZ"/>
        </w:rPr>
        <w:t xml:space="preserve">4. Legal grounds for processing </w:t>
      </w:r>
    </w:p>
    <w:p w14:paraId="0839526A" w14:textId="77777777" w:rsidR="00DB3970" w:rsidRPr="006511EE" w:rsidRDefault="00DB3970" w:rsidP="00DB3970">
      <w:pPr>
        <w:rPr>
          <w:sz w:val="20"/>
          <w:szCs w:val="20"/>
          <w:lang w:val="cs-CZ"/>
        </w:rPr>
      </w:pPr>
      <w:r w:rsidRPr="006511EE">
        <w:rPr>
          <w:sz w:val="20"/>
          <w:szCs w:val="20"/>
          <w:lang w:val="cs-CZ"/>
        </w:rPr>
        <w:t xml:space="preserve">The processing of personal data is based on the following legal grounds under Art. 6 GDPR: </w:t>
      </w:r>
    </w:p>
    <w:p w14:paraId="1A1B61DC" w14:textId="62EE49DB"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Performance of the contract (Art. 6(1)(b) GDPR): Processing of data is necessary for user account registration, providing access to the Syntax platform, document translation, glossary management and maintaining user history. </w:t>
      </w:r>
    </w:p>
    <w:p w14:paraId="2785F4FD" w14:textId="6A944A2C"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Compliance with a legal obligation (Art. 6(1)(c) GDPR): Processing of data is necessary for accounting, issuing tax documents and meeting obligations arising from tax and other laws. </w:t>
      </w:r>
    </w:p>
    <w:p w14:paraId="59144D00"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Provider's legitimate interest (Art. 6(1)(f) GDPR): mainly the protection and security of the system, preventing misuse of the service, keeping operational logs of system activity and handling enquiries and complaints. </w:t>
      </w:r>
    </w:p>
    <w:p w14:paraId="7ADAD097" w14:textId="55EE5E3D"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Data subject consent (Art. 6(1)(a) GDPR): If given, it is used only for marketing–mainly for sending newsletters and commercial messages. Consent is voluntary, not required for service use, and may be withdrawn at any time.</w:t>
      </w:r>
    </w:p>
    <w:p w14:paraId="378117A8" w14:textId="77777777" w:rsidR="00DB3970" w:rsidRPr="006511EE" w:rsidRDefault="00DB3970" w:rsidP="00DB3970">
      <w:pPr>
        <w:pStyle w:val="Heading1"/>
        <w:rPr>
          <w:sz w:val="28"/>
          <w:szCs w:val="28"/>
          <w:lang w:val="cs-CZ"/>
        </w:rPr>
      </w:pPr>
      <w:r w:rsidRPr="006511EE">
        <w:rPr>
          <w:sz w:val="28"/>
          <w:szCs w:val="28"/>
          <w:lang w:val="cs-CZ"/>
        </w:rPr>
        <w:t xml:space="preserve">5. Data retention period </w:t>
      </w:r>
    </w:p>
    <w:p w14:paraId="6E7569F6" w14:textId="77777777" w:rsidR="00DB3970" w:rsidRPr="006511EE" w:rsidRDefault="00DB3970" w:rsidP="00DB3970">
      <w:pPr>
        <w:rPr>
          <w:sz w:val="20"/>
          <w:szCs w:val="20"/>
          <w:lang w:val="cs-CZ"/>
        </w:rPr>
      </w:pPr>
      <w:r w:rsidRPr="006511EE">
        <w:rPr>
          <w:sz w:val="20"/>
          <w:szCs w:val="20"/>
          <w:lang w:val="cs-CZ"/>
        </w:rPr>
        <w:t xml:space="preserve">Personal data and other data are retained only for the period strictly necessary to fulfil the purposes of their processing, and are kept as follows: </w:t>
      </w:r>
    </w:p>
    <w:p w14:paraId="296EEBB8"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lastRenderedPageBreak/>
        <w:t xml:space="preserve">User data (login): for the duration of the contract or until the user's account is deleted by the company administrator. </w:t>
      </w:r>
    </w:p>
    <w:p w14:paraId="1F55B428" w14:textId="34A22559"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Customer data (the company): identification and billing data during the contract and thereafter for the period necessary to protect the Provider's rights (usually max. 3 years after termination). </w:t>
      </w:r>
    </w:p>
    <w:p w14:paraId="35ED32DB"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Uploaded documents, company glossary and translation history (including metadata): stored for the contract term and up to 3 years after termination, unless the user specifies a shorter retention period. Before then the user may request a data export or backup. </w:t>
      </w:r>
    </w:p>
    <w:p w14:paraId="67C4CA9B" w14:textId="4B7FA358"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Operational records (logs): kept for the contract term; after termination kept no longer than 1 year, only to address any disputes, incidents or for audit purposes. </w:t>
      </w:r>
    </w:p>
    <w:p w14:paraId="039D8E5A" w14:textId="7AAA42E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Contact details (customer support team): for the time needed to resolve the inquiry or complaint and then only as needed to protect the Provider's legal rights (usually max. 2 years). </w:t>
      </w:r>
    </w:p>
    <w:p w14:paraId="4E6AD7B4"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Accounting and tax documents: 10 years from their creation date, according to legal regulations. </w:t>
      </w:r>
    </w:p>
    <w:p w14:paraId="73E1F964" w14:textId="70D5933F" w:rsidR="00DB3970" w:rsidRPr="006511EE" w:rsidRDefault="00DB3970" w:rsidP="00DB3970">
      <w:pPr>
        <w:rPr>
          <w:sz w:val="20"/>
          <w:szCs w:val="20"/>
          <w:lang w:val="cs-CZ"/>
        </w:rPr>
      </w:pPr>
      <w:r w:rsidRPr="006511EE">
        <w:rPr>
          <w:sz w:val="20"/>
          <w:szCs w:val="20"/>
          <w:lang w:val="cs-CZ"/>
        </w:rPr>
        <w:t xml:space="preserve">After the above periods expire, data will be irreversibly deleted or anonymized unless law requires longer retention. A deletion request will not be honored if keeping the data is necessary to meet the Provider's legal duties or to protect its legal claims.</w:t>
      </w:r>
    </w:p>
    <w:p w14:paraId="3F296BD6" w14:textId="77777777" w:rsidR="00DB3970" w:rsidRPr="006511EE" w:rsidRDefault="00DB3970" w:rsidP="00DB3970">
      <w:pPr>
        <w:pStyle w:val="Heading1"/>
        <w:rPr>
          <w:sz w:val="28"/>
          <w:szCs w:val="28"/>
          <w:lang w:val="cs-CZ"/>
        </w:rPr>
      </w:pPr>
      <w:r w:rsidRPr="006511EE">
        <w:rPr>
          <w:sz w:val="28"/>
          <w:szCs w:val="28"/>
          <w:lang w:val="cs-CZ"/>
        </w:rPr>
        <w:t xml:space="preserve">6. Recipients of data </w:t>
      </w:r>
    </w:p>
    <w:p w14:paraId="331AC9FC" w14:textId="77777777" w:rsidR="00DB3970" w:rsidRPr="006511EE" w:rsidRDefault="00DB3970" w:rsidP="00DB3970">
      <w:pPr>
        <w:rPr>
          <w:sz w:val="20"/>
          <w:szCs w:val="20"/>
          <w:lang w:val="cs-CZ"/>
        </w:rPr>
      </w:pPr>
      <w:r w:rsidRPr="006511EE">
        <w:rPr>
          <w:sz w:val="20"/>
          <w:szCs w:val="20"/>
          <w:lang w:val="cs-CZ"/>
        </w:rPr>
        <w:t xml:space="preserve">Personal data may be disclosed to the following internal, external and third-party recipients: </w:t>
      </w:r>
    </w:p>
    <w:p w14:paraId="25C388D6"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Provider (Sophie Kemp, sole trader under the Trade Licensing Act). </w:t>
      </w:r>
    </w:p>
    <w:p w14:paraId="59654DBC"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A hosting and cloud services provider that ensures secure data storage and service availability. </w:t>
      </w:r>
    </w:p>
    <w:p w14:paraId="1E6416E4"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Accountants and legal advisors – for the purpose of maintaining accounting, fulfilling tax obligations, or resolving legal claims, if needed. </w:t>
      </w:r>
    </w:p>
    <w:p w14:paraId="00CEEA65"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Third parties – in particular payment gateways, providers of email or mailing tools (if used). </w:t>
      </w:r>
    </w:p>
    <w:p w14:paraId="1D02D5B2" w14:textId="77777777" w:rsidR="00DB3970" w:rsidRPr="006511EE" w:rsidRDefault="00DB3970" w:rsidP="00DB3970">
      <w:pPr>
        <w:rPr>
          <w:sz w:val="20"/>
          <w:szCs w:val="20"/>
          <w:lang w:val="cs-CZ"/>
        </w:rPr>
      </w:pPr>
      <w:r w:rsidRPr="006511EE">
        <w:rPr>
          <w:sz w:val="20"/>
          <w:szCs w:val="20"/>
          <w:lang w:val="cs-CZ"/>
        </w:rPr>
        <w:t xml:space="preserve">All recipients process data only to the extent necessary to perform their activities and are contractually bound to protect them. </w:t>
      </w:r>
    </w:p>
    <w:p w14:paraId="10CCDF91" w14:textId="77777777" w:rsidR="00DB3970" w:rsidRPr="006511EE" w:rsidRDefault="00DB3970" w:rsidP="00DB3970">
      <w:pPr>
        <w:rPr>
          <w:sz w:val="20"/>
          <w:szCs w:val="20"/>
          <w:lang w:val="cs-CZ"/>
        </w:rPr>
      </w:pPr>
      <w:r w:rsidRPr="006511EE">
        <w:rPr>
          <w:sz w:val="20"/>
          <w:szCs w:val="20"/>
          <w:lang w:val="cs-CZ"/>
        </w:rPr>
        <w:t>Current list of processors is available on request from the Provider.</w:t>
      </w:r>
    </w:p>
    <w:p w14:paraId="1EA96ABF" w14:textId="77777777" w:rsidR="00DB3970" w:rsidRPr="006511EE" w:rsidRDefault="00DB3970" w:rsidP="00DB3970">
      <w:pPr>
        <w:pStyle w:val="Heading1"/>
        <w:rPr>
          <w:sz w:val="28"/>
          <w:szCs w:val="28"/>
          <w:lang w:val="cs-CZ"/>
        </w:rPr>
      </w:pPr>
      <w:r w:rsidRPr="006511EE">
        <w:rPr>
          <w:sz w:val="28"/>
          <w:szCs w:val="28"/>
          <w:lang w:val="cs-CZ"/>
        </w:rPr>
        <w:t xml:space="preserve">7. Transfer of data outside the EU </w:t>
      </w:r>
    </w:p>
    <w:p w14:paraId="6470F1E5" w14:textId="69B9B3E9" w:rsidR="00DB3970" w:rsidRPr="006511EE" w:rsidRDefault="00DB3970" w:rsidP="00DB3970">
      <w:pPr>
        <w:rPr>
          <w:sz w:val="20"/>
          <w:szCs w:val="20"/>
          <w:lang w:val="cs-CZ"/>
        </w:rPr>
      </w:pPr>
      <w:r w:rsidRPr="006511EE">
        <w:rPr>
          <w:sz w:val="20"/>
          <w:szCs w:val="20"/>
          <w:lang w:val="cs-CZ"/>
        </w:rPr>
        <w:t xml:space="preserve">Personal data are processed exclusively on servers located within the European Union or the European Economic Area. Their transfer outside the EU/EEA is not expected. If it should exceptionally occur (e.g., when using services of cloud or e-mail providers), it will always be ensured in accordance with Chapter V of GDPR, in particular through the European Commission's standard contractual clauses or on the basis of a decision on adequate protection.</w:t>
      </w:r>
    </w:p>
    <w:p w14:paraId="5BFCD1D8" w14:textId="77777777" w:rsidR="00DB3970" w:rsidRPr="006511EE" w:rsidRDefault="00DB3970" w:rsidP="00DB3970">
      <w:pPr>
        <w:pStyle w:val="Heading1"/>
        <w:rPr>
          <w:sz w:val="28"/>
          <w:szCs w:val="28"/>
          <w:lang w:val="cs-CZ"/>
        </w:rPr>
      </w:pPr>
      <w:r w:rsidRPr="006511EE">
        <w:rPr>
          <w:sz w:val="28"/>
          <w:szCs w:val="28"/>
          <w:lang w:val="cs-CZ"/>
        </w:rPr>
        <w:t xml:space="preserve">8. Rights of data subjects </w:t>
      </w:r>
    </w:p>
    <w:p w14:paraId="0D0B2011" w14:textId="77777777" w:rsidR="00DB3970" w:rsidRPr="006511EE" w:rsidRDefault="00DB3970" w:rsidP="00DB3970">
      <w:pPr>
        <w:rPr>
          <w:sz w:val="20"/>
          <w:szCs w:val="20"/>
          <w:lang w:val="cs-CZ"/>
        </w:rPr>
      </w:pPr>
      <w:r w:rsidRPr="006511EE">
        <w:rPr>
          <w:sz w:val="20"/>
          <w:szCs w:val="20"/>
          <w:lang w:val="cs-CZ"/>
        </w:rPr>
        <w:t xml:space="preserve">The data subject (the user or the contact person within the company) has, under the GDPR, the following principal rights: </w:t>
      </w:r>
    </w:p>
    <w:p w14:paraId="7ED9E26C"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Right of access: to obtain confirmation that his personal data are being processed, and, if so, to receive a copy and details of the processing. </w:t>
      </w:r>
    </w:p>
    <w:p w14:paraId="07D0368F"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Right to rectification: request correction of inaccurate or outdated data. </w:t>
      </w:r>
    </w:p>
    <w:p w14:paraId="59C9C006" w14:textId="1437E0FE"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Right to erasure (“right to be forgotten”): to request deletion of personal data if no longer necessary for processing purposes or if consent was withdrawn. </w:t>
      </w:r>
    </w:p>
    <w:p w14:paraId="2BD8893D" w14:textId="3EBF209A" w:rsidR="00DB3970" w:rsidRPr="006511EE" w:rsidRDefault="00DB3970" w:rsidP="00DB3970">
      <w:pPr>
        <w:pStyle w:val="ListParagraph"/>
        <w:numPr>
          <w:ilvl w:val="0"/>
          <w:numId w:val="43"/>
        </w:numPr>
        <w:rPr>
          <w:sz w:val="20"/>
          <w:szCs w:val="20"/>
          <w:lang w:val="cs-CZ"/>
        </w:rPr>
      </w:pPr>
      <w:r w:rsidRPr="006511EE">
        <w:rPr>
          <w:sz w:val="20"/>
          <w:szCs w:val="20"/>
          <w:lang w:val="cs-CZ"/>
        </w:rPr>
        <w:lastRenderedPageBreak/>
        <w:t>Right to restrict processing: in certain cases (e.g. if data accuracy is disputed) you may request restriction of their</w:t>
      </w:r>
      <w:r w:rsidR="00B03FBD" w:rsidRPr="006511EE">
        <w:rPr>
          <w:sz w:val="20"/>
          <w:szCs w:val="20"/>
          <w:lang w:val="cs-CZ"/>
        </w:rPr>
        <w:t xml:space="preserve"> use. </w:t>
      </w:r>
    </w:p>
    <w:p w14:paraId="2D15A195"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Right to data portability: receive your data in a structured, machine-readable format or send them to another controller. </w:t>
      </w:r>
    </w:p>
    <w:p w14:paraId="31E4A25A" w14:textId="455293DB"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Right to object: to processing of data carried out on the basis of the Provider's legitimate interest or for direct marketing purposes. </w:t>
      </w:r>
    </w:p>
    <w:p w14:paraId="2B352CA4"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Right to complain: with supervisory authority – Office for Personal Data Protection (ÚOOÚ), Pplk. Sochora 27, 170 00 Prague 7, </w:t>
      </w:r>
      <w:hyperlink r:id="rId7" w:history="1">
        <w:r w:rsidRPr="006511EE">
          <w:rPr>
            <w:rStyle w:val="Hyperlink"/>
            <w:sz w:val="20"/>
            <w:szCs w:val="20"/>
            <w:lang w:val="cs-CZ"/>
          </w:rPr>
          <w:t>www.uoou.cz</w:t>
        </w:r>
      </w:hyperlink>
      <w:r w:rsidRPr="006511EE">
        <w:rPr>
          <w:sz w:val="20"/>
          <w:szCs w:val="20"/>
          <w:lang w:val="cs-CZ"/>
        </w:rPr>
        <w:t>.</w:t>
      </w:r>
    </w:p>
    <w:p w14:paraId="31FE502B" w14:textId="77777777" w:rsidR="00DB3970" w:rsidRPr="006511EE" w:rsidRDefault="00DB3970" w:rsidP="00DB3970">
      <w:pPr>
        <w:pStyle w:val="Heading1"/>
        <w:rPr>
          <w:sz w:val="28"/>
          <w:szCs w:val="28"/>
          <w:lang w:val="cs-CZ"/>
        </w:rPr>
      </w:pPr>
      <w:r w:rsidRPr="006511EE">
        <w:rPr>
          <w:sz w:val="28"/>
          <w:szCs w:val="28"/>
          <w:lang w:val="cs-CZ"/>
        </w:rPr>
        <w:t xml:space="preserve">9. Exercise of rights </w:t>
      </w:r>
    </w:p>
    <w:p w14:paraId="04564B21" w14:textId="77777777" w:rsidR="00DB3970" w:rsidRPr="006511EE" w:rsidRDefault="00DB3970" w:rsidP="00DB3970">
      <w:pPr>
        <w:rPr>
          <w:sz w:val="20"/>
          <w:szCs w:val="20"/>
          <w:lang w:val="cs-CZ"/>
        </w:rPr>
      </w:pPr>
      <w:r w:rsidRPr="006511EE">
        <w:rPr>
          <w:sz w:val="20"/>
          <w:szCs w:val="20"/>
          <w:lang w:val="cs-CZ"/>
        </w:rPr>
        <w:t xml:space="preserve">The data subject may exercise their rights at any time by contacting the Provider via the email address support@wordbyword.cz for full details. </w:t>
      </w:r>
    </w:p>
    <w:p w14:paraId="7D8CEBBB" w14:textId="77777777" w:rsidR="00DB3970" w:rsidRPr="006511EE" w:rsidRDefault="00DB3970" w:rsidP="00DB3970">
      <w:pPr>
        <w:rPr>
          <w:sz w:val="20"/>
          <w:szCs w:val="20"/>
          <w:lang w:val="cs-CZ"/>
        </w:rPr>
      </w:pPr>
      <w:r w:rsidRPr="006511EE">
        <w:rPr>
          <w:sz w:val="20"/>
          <w:szCs w:val="20"/>
          <w:lang w:val="cs-CZ"/>
        </w:rPr>
        <w:t>We process requests without undue delay and, in any event, no later than one month from receipt, also in accordance with GDPR.</w:t>
      </w:r>
    </w:p>
    <w:p w14:paraId="223C4E5C" w14:textId="77777777" w:rsidR="00DB3970" w:rsidRPr="006511EE" w:rsidRDefault="00DB3970" w:rsidP="00DB3970">
      <w:pPr>
        <w:pStyle w:val="Heading1"/>
        <w:rPr>
          <w:sz w:val="28"/>
          <w:szCs w:val="28"/>
          <w:lang w:val="cs-CZ"/>
        </w:rPr>
      </w:pPr>
      <w:r w:rsidRPr="006511EE">
        <w:rPr>
          <w:sz w:val="28"/>
          <w:szCs w:val="28"/>
          <w:lang w:val="cs-CZ"/>
        </w:rPr>
        <w:t xml:space="preserve">10. Security measures </w:t>
      </w:r>
    </w:p>
    <w:p w14:paraId="7E96E8C6" w14:textId="77777777" w:rsidR="00DB3970" w:rsidRPr="006511EE" w:rsidRDefault="00DB3970" w:rsidP="00DB3970">
      <w:pPr>
        <w:rPr>
          <w:sz w:val="20"/>
          <w:szCs w:val="20"/>
          <w:lang w:val="cs-CZ"/>
        </w:rPr>
      </w:pPr>
      <w:r w:rsidRPr="006511EE">
        <w:rPr>
          <w:sz w:val="20"/>
          <w:szCs w:val="20"/>
          <w:lang w:val="cs-CZ"/>
        </w:rPr>
        <w:t xml:space="preserve">The provider takes technical and organizational measures to protect personal data and company data from unauthorized access, loss, damage or misuse. Specifically: </w:t>
      </w:r>
    </w:p>
    <w:p w14:paraId="7E6CED76"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Encryption of data in transit and at rest to prevent their unauthorized disclosure. </w:t>
      </w:r>
    </w:p>
    <w:p w14:paraId="33DEB989"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Regular data backups and the ability to restore them in the event of a technical incident. </w:t>
      </w:r>
    </w:p>
    <w:p w14:paraId="02808561"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Roles and permissions of users – split into administrators and regular users, with limited access to features and system functions/tools per their role. </w:t>
      </w:r>
    </w:p>
    <w:p w14:paraId="17898E17" w14:textId="77777777"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Restricted access to servers and databases for authorized personnel only, protected by passwords. </w:t>
      </w:r>
    </w:p>
    <w:p w14:paraId="131CD683" w14:textId="0BFEFF38" w:rsidR="00DB3970" w:rsidRPr="006511EE" w:rsidRDefault="00DB3970" w:rsidP="00DB3970">
      <w:pPr>
        <w:pStyle w:val="ListParagraph"/>
        <w:numPr>
          <w:ilvl w:val="0"/>
          <w:numId w:val="43"/>
        </w:numPr>
        <w:rPr>
          <w:sz w:val="20"/>
          <w:szCs w:val="20"/>
          <w:lang w:val="cs-CZ"/>
        </w:rPr>
      </w:pPr>
      <w:r w:rsidRPr="006511EE">
        <w:rPr>
          <w:sz w:val="20"/>
          <w:szCs w:val="20"/>
          <w:lang w:val="cs-CZ"/>
        </w:rPr>
        <w:t xml:space="preserve">Internal rules for handling data – all collaborators of the Provider are bound by confidentiality and obliged to observe security measures. </w:t>
      </w:r>
    </w:p>
    <w:p w14:paraId="545E1503" w14:textId="77777777" w:rsidR="00DB3970" w:rsidRPr="006511EE" w:rsidRDefault="00DB3970" w:rsidP="00DB3970">
      <w:pPr>
        <w:rPr>
          <w:sz w:val="20"/>
          <w:szCs w:val="20"/>
          <w:lang w:val="cs-CZ"/>
        </w:rPr>
      </w:pPr>
      <w:r w:rsidRPr="006511EE">
        <w:rPr>
          <w:sz w:val="20"/>
          <w:szCs w:val="20"/>
          <w:lang w:val="cs-CZ"/>
        </w:rPr>
        <w:t>Security measures are regularly tested, assessed and updated to match current risks and technological development.</w:t>
      </w:r>
    </w:p>
    <w:p w14:paraId="3859017C" w14:textId="77777777" w:rsidR="00DB3970" w:rsidRPr="006511EE" w:rsidRDefault="00DB3970" w:rsidP="00DB3970">
      <w:pPr>
        <w:pStyle w:val="Heading1"/>
        <w:rPr>
          <w:sz w:val="28"/>
          <w:szCs w:val="28"/>
          <w:lang w:val="cs-CZ"/>
        </w:rPr>
      </w:pPr>
      <w:r w:rsidRPr="006511EE">
        <w:rPr>
          <w:sz w:val="28"/>
          <w:szCs w:val="28"/>
          <w:lang w:val="cs-CZ"/>
        </w:rPr>
        <w:t xml:space="preserve">11. Cookies </w:t>
      </w:r>
    </w:p>
    <w:p w14:paraId="499AD361" w14:textId="77777777" w:rsidR="00DB3970" w:rsidRPr="006511EE" w:rsidRDefault="00DB3970" w:rsidP="00DB3970">
      <w:pPr>
        <w:rPr>
          <w:sz w:val="20"/>
          <w:szCs w:val="20"/>
          <w:lang w:val="cs-CZ"/>
        </w:rPr>
      </w:pPr>
      <w:r w:rsidRPr="006511EE">
        <w:rPr>
          <w:sz w:val="20"/>
          <w:szCs w:val="20"/>
          <w:lang w:val="cs-CZ"/>
        </w:rPr>
        <w:t>The website www.syntaxtranslate.com uses only technical cookies that are essential for its operation, for security and navigation. These cookies do not contain personal data and cannot be disabled; without them it wouldn't work correctly.</w:t>
      </w:r>
    </w:p>
    <w:p w14:paraId="53AC0834" w14:textId="77777777" w:rsidR="00DB3970" w:rsidRPr="006511EE" w:rsidRDefault="00DB3970" w:rsidP="00DB3970">
      <w:pPr>
        <w:pStyle w:val="Heading1"/>
        <w:rPr>
          <w:sz w:val="28"/>
          <w:szCs w:val="28"/>
          <w:lang w:val="cs-CZ"/>
        </w:rPr>
      </w:pPr>
      <w:r w:rsidRPr="006511EE">
        <w:rPr>
          <w:sz w:val="28"/>
          <w:szCs w:val="28"/>
          <w:lang w:val="cs-CZ"/>
        </w:rPr>
        <w:t xml:space="preserve">12. Entry into force </w:t>
      </w:r>
    </w:p>
    <w:p w14:paraId="09C3962D" w14:textId="77777777" w:rsidR="00DB3970" w:rsidRPr="006511EE" w:rsidRDefault="00DB3970" w:rsidP="00DB3970">
      <w:pPr>
        <w:rPr>
          <w:sz w:val="20"/>
          <w:szCs w:val="20"/>
          <w:lang w:val="cs-CZ"/>
        </w:rPr>
      </w:pPr>
      <w:r w:rsidRPr="006511EE">
        <w:rPr>
          <w:sz w:val="20"/>
          <w:szCs w:val="20"/>
          <w:lang w:val="cs-CZ"/>
        </w:rPr>
        <w:t xml:space="preserve">These </w:t>
      </w:r>
      <w:proofErr w:type="spellStart"/>
      <w:r w:rsidRPr="006511EE">
        <w:rPr>
          <w:sz w:val="20"/>
          <w:szCs w:val="20"/>
          <w:lang w:val="cs-CZ"/>
        </w:rPr>
        <w:t>Privacy</w:t>
      </w:r>
      <w:proofErr w:type="spellEnd"/>
      <w:r w:rsidRPr="006511EE">
        <w:rPr>
          <w:sz w:val="20"/>
          <w:szCs w:val="20"/>
          <w:lang w:val="cs-CZ"/>
        </w:rPr>
        <w:t xml:space="preserve"> </w:t>
      </w:r>
      <w:proofErr w:type="spellStart"/>
      <w:r w:rsidRPr="006511EE">
        <w:rPr>
          <w:sz w:val="20"/>
          <w:szCs w:val="20"/>
          <w:lang w:val="cs-CZ"/>
        </w:rPr>
        <w:t>Policy</w:t>
      </w:r>
      <w:proofErr w:type="spellEnd"/>
      <w:r w:rsidRPr="006511EE">
        <w:rPr>
          <w:sz w:val="20"/>
          <w:szCs w:val="20"/>
          <w:lang w:val="cs-CZ"/>
        </w:rPr>
        <w:t xml:space="preserve"> come into force on 1 Oct 2025 and form part of the contract between Provider and User of the Syntax service and supplement </w:t>
      </w:r>
      <w:proofErr w:type="spellStart"/>
      <w:r w:rsidRPr="006511EE">
        <w:rPr>
          <w:sz w:val="20"/>
          <w:szCs w:val="20"/>
          <w:lang w:val="cs-CZ"/>
        </w:rPr>
        <w:t>Terms</w:t>
      </w:r>
      <w:proofErr w:type="spellEnd"/>
      <w:r w:rsidRPr="006511EE">
        <w:rPr>
          <w:sz w:val="20"/>
          <w:szCs w:val="20"/>
          <w:lang w:val="cs-CZ"/>
        </w:rPr>
        <w:t xml:space="preserve"> &amp; </w:t>
      </w:r>
      <w:proofErr w:type="spellStart"/>
      <w:r w:rsidRPr="006511EE">
        <w:rPr>
          <w:sz w:val="20"/>
          <w:szCs w:val="20"/>
          <w:lang w:val="cs-CZ"/>
        </w:rPr>
        <w:t>Conditions</w:t>
      </w:r>
      <w:proofErr w:type="spellEnd"/>
      <w:r w:rsidRPr="006511EE">
        <w:rPr>
          <w:sz w:val="20"/>
          <w:szCs w:val="20"/>
          <w:lang w:val="cs-CZ"/>
        </w:rPr>
        <w:t xml:space="preserve"> of the Syntax service. </w:t>
      </w:r>
    </w:p>
    <w:p w14:paraId="2F64E350" w14:textId="7AE1FF81" w:rsidR="00DB3970" w:rsidRPr="006511EE" w:rsidRDefault="00DB3970" w:rsidP="00DB3970">
      <w:pPr>
        <w:rPr>
          <w:sz w:val="20"/>
          <w:szCs w:val="20"/>
          <w:lang w:val="cs-CZ"/>
        </w:rPr>
      </w:pPr>
      <w:r w:rsidRPr="006511EE">
        <w:rPr>
          <w:sz w:val="20"/>
          <w:szCs w:val="20"/>
          <w:lang w:val="cs-CZ"/>
        </w:rPr>
        <w:t xml:space="preserve">The provider reserves the right to update these policies at any time, especially due to changes in legal regulations or the services provided. Users will be notified of any material change to these policies by e-mail or notice in their user account at least 14 days before the change takes effect. The current version is always published on the website https://www.wordbyword.cz/syntax/.</w:t>
      </w:r>
    </w:p>
    <w:p w14:paraId="61B7DC22" w14:textId="77777777" w:rsidR="006D1F9B" w:rsidRPr="006511EE" w:rsidRDefault="006D1F9B" w:rsidP="00DB3970">
      <w:pPr>
        <w:rPr>
          <w:sz w:val="20"/>
          <w:szCs w:val="20"/>
          <w:lang w:val="cs-CZ"/>
        </w:rPr>
      </w:pPr>
    </w:p>
    <w:sectPr w:rsidR="006D1F9B" w:rsidRPr="00651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BD"/>
    <w:multiLevelType w:val="multilevel"/>
    <w:tmpl w:val="E324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80A3A"/>
    <w:multiLevelType w:val="multilevel"/>
    <w:tmpl w:val="2926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B5956"/>
    <w:multiLevelType w:val="multilevel"/>
    <w:tmpl w:val="009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D7464"/>
    <w:multiLevelType w:val="multilevel"/>
    <w:tmpl w:val="DA8E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F54D3"/>
    <w:multiLevelType w:val="multilevel"/>
    <w:tmpl w:val="D80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772AA"/>
    <w:multiLevelType w:val="multilevel"/>
    <w:tmpl w:val="54F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8110E0"/>
    <w:multiLevelType w:val="multilevel"/>
    <w:tmpl w:val="18D6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67F84"/>
    <w:multiLevelType w:val="multilevel"/>
    <w:tmpl w:val="654A4E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9FF129C"/>
    <w:multiLevelType w:val="multilevel"/>
    <w:tmpl w:val="5122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A203B8"/>
    <w:multiLevelType w:val="multilevel"/>
    <w:tmpl w:val="A38241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FB92887"/>
    <w:multiLevelType w:val="multilevel"/>
    <w:tmpl w:val="091C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3774C9"/>
    <w:multiLevelType w:val="multilevel"/>
    <w:tmpl w:val="3862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667B21"/>
    <w:multiLevelType w:val="multilevel"/>
    <w:tmpl w:val="FD30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A66419"/>
    <w:multiLevelType w:val="hybridMultilevel"/>
    <w:tmpl w:val="46A0F362"/>
    <w:lvl w:ilvl="0" w:tplc="C9AC7238">
      <w:start w:val="5"/>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F38B0"/>
    <w:multiLevelType w:val="multilevel"/>
    <w:tmpl w:val="D44A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71F5F"/>
    <w:multiLevelType w:val="multilevel"/>
    <w:tmpl w:val="5B16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8B5004"/>
    <w:multiLevelType w:val="multilevel"/>
    <w:tmpl w:val="C722D8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13B5F99"/>
    <w:multiLevelType w:val="multilevel"/>
    <w:tmpl w:val="5F94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FC1935"/>
    <w:multiLevelType w:val="multilevel"/>
    <w:tmpl w:val="956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6E09C2"/>
    <w:multiLevelType w:val="multilevel"/>
    <w:tmpl w:val="1EF8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B974D0"/>
    <w:multiLevelType w:val="multilevel"/>
    <w:tmpl w:val="201C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CB10F2"/>
    <w:multiLevelType w:val="multilevel"/>
    <w:tmpl w:val="B16C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15018D"/>
    <w:multiLevelType w:val="multilevel"/>
    <w:tmpl w:val="6422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9C17E3"/>
    <w:multiLevelType w:val="multilevel"/>
    <w:tmpl w:val="23B0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CC4E9F"/>
    <w:multiLevelType w:val="multilevel"/>
    <w:tmpl w:val="C478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AC4240"/>
    <w:multiLevelType w:val="multilevel"/>
    <w:tmpl w:val="9126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B70D8F"/>
    <w:multiLevelType w:val="multilevel"/>
    <w:tmpl w:val="8DC2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5A7734"/>
    <w:multiLevelType w:val="multilevel"/>
    <w:tmpl w:val="8D0C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2164E6"/>
    <w:multiLevelType w:val="multilevel"/>
    <w:tmpl w:val="276A5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33E427C"/>
    <w:multiLevelType w:val="multilevel"/>
    <w:tmpl w:val="BCD2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11313A"/>
    <w:multiLevelType w:val="multilevel"/>
    <w:tmpl w:val="63BC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9C3DEF"/>
    <w:multiLevelType w:val="multilevel"/>
    <w:tmpl w:val="796C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060E3A"/>
    <w:multiLevelType w:val="multilevel"/>
    <w:tmpl w:val="EB36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F8041D"/>
    <w:multiLevelType w:val="multilevel"/>
    <w:tmpl w:val="1E56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AC6E47"/>
    <w:multiLevelType w:val="multilevel"/>
    <w:tmpl w:val="DC4A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F43FA2"/>
    <w:multiLevelType w:val="multilevel"/>
    <w:tmpl w:val="F3E0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4D0C9F"/>
    <w:multiLevelType w:val="multilevel"/>
    <w:tmpl w:val="D55E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1743FE"/>
    <w:multiLevelType w:val="multilevel"/>
    <w:tmpl w:val="34FA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327910"/>
    <w:multiLevelType w:val="multilevel"/>
    <w:tmpl w:val="5F40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25F95"/>
    <w:multiLevelType w:val="multilevel"/>
    <w:tmpl w:val="6454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991DCB"/>
    <w:multiLevelType w:val="multilevel"/>
    <w:tmpl w:val="7C8EBB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EAB395A"/>
    <w:multiLevelType w:val="multilevel"/>
    <w:tmpl w:val="F724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A36DF8"/>
    <w:multiLevelType w:val="multilevel"/>
    <w:tmpl w:val="3A28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7558307">
    <w:abstractNumId w:val="15"/>
  </w:num>
  <w:num w:numId="2" w16cid:durableId="186256480">
    <w:abstractNumId w:val="22"/>
  </w:num>
  <w:num w:numId="3" w16cid:durableId="866331302">
    <w:abstractNumId w:val="40"/>
  </w:num>
  <w:num w:numId="4" w16cid:durableId="776754645">
    <w:abstractNumId w:val="28"/>
  </w:num>
  <w:num w:numId="5" w16cid:durableId="321543692">
    <w:abstractNumId w:val="9"/>
  </w:num>
  <w:num w:numId="6" w16cid:durableId="685519765">
    <w:abstractNumId w:val="16"/>
  </w:num>
  <w:num w:numId="7" w16cid:durableId="399063198">
    <w:abstractNumId w:val="7"/>
  </w:num>
  <w:num w:numId="8" w16cid:durableId="1430274234">
    <w:abstractNumId w:val="26"/>
  </w:num>
  <w:num w:numId="9" w16cid:durableId="237179092">
    <w:abstractNumId w:val="29"/>
  </w:num>
  <w:num w:numId="10" w16cid:durableId="684748396">
    <w:abstractNumId w:val="27"/>
  </w:num>
  <w:num w:numId="11" w16cid:durableId="421951901">
    <w:abstractNumId w:val="1"/>
  </w:num>
  <w:num w:numId="12" w16cid:durableId="1421683295">
    <w:abstractNumId w:val="21"/>
  </w:num>
  <w:num w:numId="13" w16cid:durableId="1339886819">
    <w:abstractNumId w:val="25"/>
  </w:num>
  <w:num w:numId="14" w16cid:durableId="752118367">
    <w:abstractNumId w:val="3"/>
  </w:num>
  <w:num w:numId="15" w16cid:durableId="1462263894">
    <w:abstractNumId w:val="5"/>
  </w:num>
  <w:num w:numId="16" w16cid:durableId="1617786698">
    <w:abstractNumId w:val="42"/>
  </w:num>
  <w:num w:numId="17" w16cid:durableId="1563296276">
    <w:abstractNumId w:val="12"/>
  </w:num>
  <w:num w:numId="18" w16cid:durableId="1747993540">
    <w:abstractNumId w:val="36"/>
  </w:num>
  <w:num w:numId="19" w16cid:durableId="512384236">
    <w:abstractNumId w:val="37"/>
  </w:num>
  <w:num w:numId="20" w16cid:durableId="1828352476">
    <w:abstractNumId w:val="6"/>
  </w:num>
  <w:num w:numId="21" w16cid:durableId="1390609150">
    <w:abstractNumId w:val="31"/>
  </w:num>
  <w:num w:numId="22" w16cid:durableId="310796686">
    <w:abstractNumId w:val="35"/>
  </w:num>
  <w:num w:numId="23" w16cid:durableId="749158945">
    <w:abstractNumId w:val="30"/>
  </w:num>
  <w:num w:numId="24" w16cid:durableId="561257644">
    <w:abstractNumId w:val="17"/>
  </w:num>
  <w:num w:numId="25" w16cid:durableId="1146434415">
    <w:abstractNumId w:val="19"/>
  </w:num>
  <w:num w:numId="26" w16cid:durableId="904800415">
    <w:abstractNumId w:val="38"/>
  </w:num>
  <w:num w:numId="27" w16cid:durableId="841359413">
    <w:abstractNumId w:val="2"/>
  </w:num>
  <w:num w:numId="28" w16cid:durableId="2094274844">
    <w:abstractNumId w:val="18"/>
  </w:num>
  <w:num w:numId="29" w16cid:durableId="621233384">
    <w:abstractNumId w:val="0"/>
  </w:num>
  <w:num w:numId="30" w16cid:durableId="1588885576">
    <w:abstractNumId w:val="14"/>
  </w:num>
  <w:num w:numId="31" w16cid:durableId="464154367">
    <w:abstractNumId w:val="23"/>
  </w:num>
  <w:num w:numId="32" w16cid:durableId="2102993515">
    <w:abstractNumId w:val="39"/>
  </w:num>
  <w:num w:numId="33" w16cid:durableId="522475993">
    <w:abstractNumId w:val="8"/>
  </w:num>
  <w:num w:numId="34" w16cid:durableId="1151017007">
    <w:abstractNumId w:val="4"/>
  </w:num>
  <w:num w:numId="35" w16cid:durableId="1734812016">
    <w:abstractNumId w:val="33"/>
  </w:num>
  <w:num w:numId="36" w16cid:durableId="2053728014">
    <w:abstractNumId w:val="34"/>
  </w:num>
  <w:num w:numId="37" w16cid:durableId="1151141975">
    <w:abstractNumId w:val="24"/>
  </w:num>
  <w:num w:numId="38" w16cid:durableId="278537366">
    <w:abstractNumId w:val="10"/>
  </w:num>
  <w:num w:numId="39" w16cid:durableId="478575620">
    <w:abstractNumId w:val="20"/>
  </w:num>
  <w:num w:numId="40" w16cid:durableId="958951762">
    <w:abstractNumId w:val="41"/>
  </w:num>
  <w:num w:numId="41" w16cid:durableId="2092581557">
    <w:abstractNumId w:val="11"/>
  </w:num>
  <w:num w:numId="42" w16cid:durableId="2044672074">
    <w:abstractNumId w:val="32"/>
  </w:num>
  <w:num w:numId="43" w16cid:durableId="936868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9C"/>
    <w:rsid w:val="001B75C2"/>
    <w:rsid w:val="004137B1"/>
    <w:rsid w:val="00464DE8"/>
    <w:rsid w:val="005C1B9C"/>
    <w:rsid w:val="006511EE"/>
    <w:rsid w:val="006D1F9B"/>
    <w:rsid w:val="00887A65"/>
    <w:rsid w:val="00A95476"/>
    <w:rsid w:val="00B03FBD"/>
    <w:rsid w:val="00DB3970"/>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45D02E01"/>
  <w15:chartTrackingRefBased/>
  <w15:docId w15:val="{113EDFCD-2974-F54E-BEEA-B08F4B01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970"/>
  </w:style>
  <w:style w:type="paragraph" w:styleId="Heading1">
    <w:name w:val="heading 1"/>
    <w:basedOn w:val="Normal"/>
    <w:next w:val="Normal"/>
    <w:link w:val="Heading1Char"/>
    <w:uiPriority w:val="9"/>
    <w:qFormat/>
    <w:rsid w:val="005C1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B9C"/>
    <w:rPr>
      <w:rFonts w:eastAsiaTheme="majorEastAsia" w:cstheme="majorBidi"/>
      <w:color w:val="272727" w:themeColor="text1" w:themeTint="D8"/>
    </w:rPr>
  </w:style>
  <w:style w:type="paragraph" w:styleId="Title">
    <w:name w:val="Title"/>
    <w:basedOn w:val="Normal"/>
    <w:next w:val="Normal"/>
    <w:link w:val="TitleChar"/>
    <w:uiPriority w:val="10"/>
    <w:qFormat/>
    <w:rsid w:val="005C1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B9C"/>
    <w:pPr>
      <w:spacing w:before="160"/>
      <w:jc w:val="center"/>
    </w:pPr>
    <w:rPr>
      <w:i/>
      <w:iCs/>
      <w:color w:val="404040" w:themeColor="text1" w:themeTint="BF"/>
    </w:rPr>
  </w:style>
  <w:style w:type="character" w:customStyle="1" w:styleId="QuoteChar">
    <w:name w:val="Quote Char"/>
    <w:basedOn w:val="DefaultParagraphFont"/>
    <w:link w:val="Quote"/>
    <w:uiPriority w:val="29"/>
    <w:rsid w:val="005C1B9C"/>
    <w:rPr>
      <w:i/>
      <w:iCs/>
      <w:color w:val="404040" w:themeColor="text1" w:themeTint="BF"/>
    </w:rPr>
  </w:style>
  <w:style w:type="paragraph" w:styleId="ListParagraph">
    <w:name w:val="List Paragraph"/>
    <w:basedOn w:val="Normal"/>
    <w:uiPriority w:val="34"/>
    <w:qFormat/>
    <w:rsid w:val="005C1B9C"/>
    <w:pPr>
      <w:ind w:left="720"/>
      <w:contextualSpacing/>
    </w:pPr>
  </w:style>
  <w:style w:type="character" w:styleId="IntenseEmphasis">
    <w:name w:val="Intense Emphasis"/>
    <w:basedOn w:val="DefaultParagraphFont"/>
    <w:uiPriority w:val="21"/>
    <w:qFormat/>
    <w:rsid w:val="005C1B9C"/>
    <w:rPr>
      <w:i/>
      <w:iCs/>
      <w:color w:val="0F4761" w:themeColor="accent1" w:themeShade="BF"/>
    </w:rPr>
  </w:style>
  <w:style w:type="paragraph" w:styleId="IntenseQuote">
    <w:name w:val="Intense Quote"/>
    <w:basedOn w:val="Normal"/>
    <w:next w:val="Normal"/>
    <w:link w:val="IntenseQuoteChar"/>
    <w:uiPriority w:val="30"/>
    <w:qFormat/>
    <w:rsid w:val="005C1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B9C"/>
    <w:rPr>
      <w:i/>
      <w:iCs/>
      <w:color w:val="0F4761" w:themeColor="accent1" w:themeShade="BF"/>
    </w:rPr>
  </w:style>
  <w:style w:type="character" w:styleId="IntenseReference">
    <w:name w:val="Intense Reference"/>
    <w:basedOn w:val="DefaultParagraphFont"/>
    <w:uiPriority w:val="32"/>
    <w:qFormat/>
    <w:rsid w:val="005C1B9C"/>
    <w:rPr>
      <w:b/>
      <w:bCs/>
      <w:smallCaps/>
      <w:color w:val="0F4761" w:themeColor="accent1" w:themeShade="BF"/>
      <w:spacing w:val="5"/>
    </w:rPr>
  </w:style>
  <w:style w:type="paragraph" w:customStyle="1" w:styleId="msonormal0">
    <w:name w:val="msonormal"/>
    <w:basedOn w:val="Normal"/>
    <w:rsid w:val="005C1B9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5C1B9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5C1B9C"/>
  </w:style>
  <w:style w:type="character" w:customStyle="1" w:styleId="normaltextrun">
    <w:name w:val="normaltextrun"/>
    <w:basedOn w:val="DefaultParagraphFont"/>
    <w:rsid w:val="005C1B9C"/>
  </w:style>
  <w:style w:type="character" w:customStyle="1" w:styleId="apple-converted-space">
    <w:name w:val="apple-converted-space"/>
    <w:basedOn w:val="DefaultParagraphFont"/>
    <w:rsid w:val="005C1B9C"/>
  </w:style>
  <w:style w:type="character" w:customStyle="1" w:styleId="eop">
    <w:name w:val="eop"/>
    <w:basedOn w:val="DefaultParagraphFont"/>
    <w:rsid w:val="005C1B9C"/>
  </w:style>
  <w:style w:type="character" w:customStyle="1" w:styleId="linebreakblob">
    <w:name w:val="linebreakblob"/>
    <w:basedOn w:val="DefaultParagraphFont"/>
    <w:rsid w:val="005C1B9C"/>
  </w:style>
  <w:style w:type="character" w:customStyle="1" w:styleId="scxw90227107">
    <w:name w:val="scxw90227107"/>
    <w:basedOn w:val="DefaultParagraphFont"/>
    <w:rsid w:val="005C1B9C"/>
  </w:style>
  <w:style w:type="character" w:styleId="Hyperlink">
    <w:name w:val="Hyperlink"/>
    <w:basedOn w:val="DefaultParagraphFont"/>
    <w:uiPriority w:val="99"/>
    <w:unhideWhenUsed/>
    <w:rsid w:val="005C1B9C"/>
    <w:rPr>
      <w:color w:val="0000FF"/>
      <w:u w:val="single"/>
    </w:rPr>
  </w:style>
  <w:style w:type="character" w:styleId="FollowedHyperlink">
    <w:name w:val="FollowedHyperlink"/>
    <w:basedOn w:val="DefaultParagraphFont"/>
    <w:uiPriority w:val="99"/>
    <w:semiHidden/>
    <w:unhideWhenUsed/>
    <w:rsid w:val="005C1B9C"/>
    <w:rPr>
      <w:color w:val="800080"/>
      <w:u w:val="single"/>
    </w:rPr>
  </w:style>
  <w:style w:type="paragraph" w:customStyle="1" w:styleId="outlineelement">
    <w:name w:val="outlineelement"/>
    <w:basedOn w:val="Normal"/>
    <w:rsid w:val="005C1B9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A95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wordbyword.cz" TargetMode="External"/><Relationship Id="rId5" Type="http://schemas.openxmlformats.org/officeDocument/2006/relationships/hyperlink" Target="http://www.uoou.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1540</Words>
  <Characters>8783</Characters>
  <Application>Microsoft Office Word</Application>
  <DocSecurity>0</DocSecurity>
  <Lines>73</Lines>
  <Paragraphs>20</Paragraphs>
  <ScaleCrop>false</ScaleCrop>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Kemp</dc:creator>
  <cp:keywords/>
  <dc:description/>
  <cp:lastModifiedBy>Sophie Kemp</cp:lastModifiedBy>
  <cp:revision>5</cp:revision>
  <dcterms:created xsi:type="dcterms:W3CDTF">2025-11-17T14:13:00Z</dcterms:created>
  <dcterms:modified xsi:type="dcterms:W3CDTF">2025-11-19T14:18:00Z</dcterms:modified>
</cp:coreProperties>
</file>